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b/>
          <w:sz w:val="36"/>
          <w:lang w:eastAsia="zh-CN"/>
        </w:rPr>
      </w:pPr>
      <w:r>
        <w:rPr>
          <w:rFonts w:hint="eastAsia" w:ascii="仿宋_GB2312" w:eastAsia="仿宋_GB2312"/>
          <w:b/>
          <w:sz w:val="36"/>
        </w:rPr>
        <w:t>附件</w:t>
      </w:r>
      <w:r>
        <w:rPr>
          <w:rFonts w:hint="eastAsia" w:ascii="仿宋_GB2312" w:eastAsia="仿宋_GB2312"/>
          <w:b/>
          <w:sz w:val="36"/>
          <w:lang w:val="en-US" w:eastAsia="zh-CN"/>
        </w:rPr>
        <w:t>1</w:t>
      </w:r>
    </w:p>
    <w:p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砝码搬运</w:t>
      </w:r>
      <w:r>
        <w:rPr>
          <w:rFonts w:hint="eastAsia"/>
          <w:b/>
          <w:bCs/>
          <w:sz w:val="36"/>
          <w:szCs w:val="36"/>
        </w:rPr>
        <w:t>服务报</w:t>
      </w:r>
      <w:r>
        <w:rPr>
          <w:rFonts w:hint="eastAsia" w:hAnsi="Courier New"/>
          <w:b/>
          <w:bCs/>
          <w:sz w:val="36"/>
          <w:szCs w:val="36"/>
          <w:lang w:val="en-US" w:eastAsia="zh-CN"/>
        </w:rPr>
        <w:t>价单</w:t>
      </w: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Ansi="宋体" w:cs="宋体"/>
          <w:b/>
          <w:bCs w:val="0"/>
          <w:kern w:val="0"/>
          <w:sz w:val="24"/>
          <w:szCs w:val="24"/>
        </w:rPr>
      </w:pPr>
      <w:r>
        <w:rPr>
          <w:rFonts w:hint="eastAsia" w:hAnsi="宋体" w:cs="宋体"/>
          <w:b/>
          <w:bCs w:val="0"/>
          <w:kern w:val="0"/>
          <w:sz w:val="24"/>
          <w:szCs w:val="24"/>
        </w:rPr>
        <w:t>报价单位（盖章）：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40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单价报价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0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砝码搬运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服务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left"/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备注：该项目以</w:t>
      </w:r>
      <w:r>
        <w:rPr>
          <w:rFonts w:hint="eastAsia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单价报价</w:t>
      </w: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最低价中标。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时间：截止2024年4月28日下午16：30前，超时后送达视为废标；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投标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地点：漳州市龙文区龙浦路17号（特检院603办公室）；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3.以上报价为含税价（增值税普通发票）与人工费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、运输费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本项目采用单价控制，投标价超过招标控制价视为无效报价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583F"/>
    <w:rsid w:val="01266D92"/>
    <w:rsid w:val="10C8583B"/>
    <w:rsid w:val="121F7949"/>
    <w:rsid w:val="15AD2523"/>
    <w:rsid w:val="22B45E88"/>
    <w:rsid w:val="3453583F"/>
    <w:rsid w:val="41323B3A"/>
    <w:rsid w:val="417103CD"/>
    <w:rsid w:val="44216DB2"/>
    <w:rsid w:val="52AB460B"/>
    <w:rsid w:val="667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188</Characters>
  <Lines>0</Lines>
  <Paragraphs>0</Paragraphs>
  <TotalTime>8</TotalTime>
  <ScaleCrop>false</ScaleCrop>
  <LinksUpToDate>false</LinksUpToDate>
  <CharactersWithSpaces>188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方立瑶</cp:lastModifiedBy>
  <cp:lastPrinted>2024-04-22T01:41:00Z</cp:lastPrinted>
  <dcterms:modified xsi:type="dcterms:W3CDTF">2024-04-22T01:43:33Z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B05E0B784B4E4A7AAA70FBAC479C6887</vt:lpwstr>
  </property>
</Properties>
</file>