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kern w:val="2"/>
          <w:sz w:val="36"/>
          <w:szCs w:val="36"/>
          <w:lang w:val="en-US" w:eastAsia="zh-CN" w:bidi="ar-SA"/>
        </w:rPr>
      </w:pPr>
      <w:r>
        <w:rPr>
          <w:rFonts w:hint="eastAsia" w:ascii="方正小标宋简体" w:hAnsi="方正小标宋简体" w:eastAsia="方正小标宋简体" w:cs="方正小标宋简体"/>
          <w:b w:val="0"/>
          <w:kern w:val="2"/>
          <w:sz w:val="36"/>
          <w:szCs w:val="36"/>
          <w:lang w:val="en-US" w:eastAsia="zh-CN" w:bidi="ar-SA"/>
        </w:rPr>
        <w:t>福建省锅炉压力容器检验研究院易制毒</w:t>
      </w:r>
    </w:p>
    <w:p>
      <w:pPr>
        <w:pStyle w:val="2"/>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kern w:val="2"/>
          <w:sz w:val="36"/>
          <w:szCs w:val="36"/>
          <w:lang w:val="en-US" w:eastAsia="zh-CN" w:bidi="ar-SA"/>
        </w:rPr>
      </w:pPr>
      <w:r>
        <w:rPr>
          <w:rFonts w:hint="eastAsia" w:ascii="方正小标宋简体" w:hAnsi="方正小标宋简体" w:eastAsia="方正小标宋简体" w:cs="方正小标宋简体"/>
          <w:b w:val="0"/>
          <w:kern w:val="2"/>
          <w:sz w:val="36"/>
          <w:szCs w:val="36"/>
          <w:lang w:val="en-US" w:eastAsia="zh-CN" w:bidi="ar-SA"/>
        </w:rPr>
        <w:t>化学品仓库搬迁及整改项目要求及相关技术参数</w:t>
      </w:r>
    </w:p>
    <w:p>
      <w:pPr>
        <w:pageBreakBefore w:val="0"/>
        <w:kinsoku/>
        <w:wordWrap/>
        <w:overflowPunct/>
        <w:topLinePunct w:val="0"/>
        <w:autoSpaceDE/>
        <w:autoSpaceDN/>
        <w:bidi w:val="0"/>
        <w:adjustRightInd/>
        <w:snapToGrid/>
        <w:spacing w:line="480" w:lineRule="exact"/>
        <w:textAlignment w:val="auto"/>
        <w:rPr>
          <w:rFonts w:hint="eastAsia" w:ascii="方正小标宋简体" w:hAnsi="方正小标宋简体" w:eastAsia="方正小标宋简体" w:cs="方正小标宋简体"/>
          <w:b w:val="0"/>
          <w:kern w:val="2"/>
          <w:sz w:val="36"/>
          <w:szCs w:val="36"/>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本项目主要内容为省锅检院金山大楼（以下简称特检大楼）易制毒化学品仓库的搬迁及整改工作，除以下提及的主要技术参数及相关要求外，所有项目均必须符合易制毒化学品管理之相关规定，</w:t>
      </w:r>
      <w:r>
        <w:rPr>
          <w:rFonts w:hint="eastAsia" w:ascii="仿宋_GB2312" w:hAnsi="仿宋_GB2312" w:eastAsia="仿宋_GB2312" w:cs="仿宋_GB2312"/>
          <w:b/>
          <w:bCs/>
          <w:kern w:val="2"/>
          <w:sz w:val="32"/>
          <w:szCs w:val="32"/>
          <w:lang w:val="en-US" w:eastAsia="zh-CN" w:bidi="ar-SA"/>
        </w:rPr>
        <w:t>各项整改以通过福州市公安局仓山区禁毒大队的易制毒化学品仓库验收为最终目的，也是项目验收必备条件之一。</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具体要求及相关技术参数如下：</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黑体" w:hAnsi="黑体" w:eastAsia="黑体" w:cs="黑体"/>
          <w:b w:val="0"/>
          <w:bCs w:val="0"/>
          <w:kern w:val="2"/>
          <w:sz w:val="32"/>
          <w:szCs w:val="32"/>
          <w:lang w:val="en-US" w:eastAsia="zh-CN" w:bidi="ar-SA"/>
        </w:rPr>
        <w:t>一、特检大楼501实验室大门改造</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拆除原有大门，更换符合易制毒化学品仓库相关要求的抗爆门。抗爆门的基本技术要求（至少满足）如下：</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1.规格尺寸：900mm*2100mm，单门平开。</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2.材料要求：门框总厚120mm，采用壁厚≥1.5㎜镀锌钢折弯；门扇总厚≥75mm，采用≥1.5mm厚钢板加≥50㎜*70㎜*2.0㎜方钢管骨架（填充防火岩棉）加≥1.5mm厚钢板。</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3.附件要求：配置逃生锁，配置双人双锁，配置特种铰链等五金配件。</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4.执行标准：抗爆门设计、制造、安装应符合《14J938-抗爆、泄爆门窗及屋盖、墙体建筑构造图集》中B型钢制抗爆门要求；抗爆门产品经国家安全部门检验合格。</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质量要求：抗爆门应焊接牢固，焊点分布均匀，不得出现假焊和烧穿现象。外表面的焊点、焊渣、划痕等杂质应打磨平整。涂层均匀、平整、光滑、不得有堆积、麻点、气泡、漏涂等现象。门框、门扇表面应无明显凹凸、擦痕、划伤等缺陷。</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6.所有物品必须按标准图集及编号加工，附带产品检验合格证、有资质单位出具的防爆检测报告、铭牌。</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二、配备并安装易制毒化学品专用柜2个</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易制毒化学品专用基本技术要求（至少满足）如下：</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产品符合Q/320205  XBB001-2014标准，具有防爆、防盗、阻燃、耐腐蚀、通风等功能。</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1.容量：60加仑；门型：双门手动；颜色：蓝色1个，黄色1个；壳体全部采用≥1.2mm 的冷轧钢板，柜体底座采用≥2.0mm 的冷轧钢板, 内外表面经酸洗磷化环氧树脂粉末喷涂，烘热固化处理。        </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2.柜体内胆（上，下、左、右内衬板）全部采用瓷白 pp（聚丙烯树脂）板；柜底侧面设可调进风口，有不锈钢可调风阀；柜体内部最下层留有可以存放不少于 120mm 厚黄沙的填埋腔（漏液漕），用于埋放金属钠、黄磷（白磷）等的易燃物品，挡板应与柜体连为一体；柜底装有四个Φ50mm 的移动钢轮，便于易燃品毒害品储存柜移动；前轮有 2 个手动调节罗杆，方便易燃品毒害品储存柜定位。</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3.柜体设3个三层阶梯式的pp聚丙烯树脂活动搁板，层板采用进口耐腐瓷白PP，层板设有10MM的通气孔。</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4.柜顶部中间有Φ150mm 出风口，柜顶风口内置一个 AC220V、50HZ、0.18A 轴流风机，最大风量≥300m3/h、转速≥2550 转/min、适用环境温度（-10~+70）℃，控制开关设置于柜体顶部，</w:t>
      </w:r>
      <w:r>
        <w:rPr>
          <w:rFonts w:hint="eastAsia" w:ascii="仿宋_GB2312" w:hAnsi="仿宋_GB2312" w:eastAsia="仿宋_GB2312" w:cs="仿宋_GB2312"/>
          <w:b/>
          <w:bCs/>
          <w:kern w:val="2"/>
          <w:sz w:val="32"/>
          <w:szCs w:val="32"/>
          <w:lang w:val="en-US" w:eastAsia="zh-CN" w:bidi="ar-SA"/>
        </w:rPr>
        <w:t>出风口须与501实验室原有通风管路对接。</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5.防火材料: 柜体应填充具有保温隔热作用的防火材料陶瓷纤维。</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6.铰链：铰链应为钢琴式铰链，确保门能开180度。柜体门与柜体之间应安装防火膨胀密封件，密封件应符合 GB 16807-2009 的要求（柜体门与柜体之间应安装环保热膨胀密封条。当温度为 150℃-180℃时密封条局部膨胀，温度达到 750℃时密封条全部膨胀，膨胀比例为 1:5，以保证储存药品的安全性）。</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7.锁具:机械锁加电子密码锁，双人双锁配置，应符合GB 10409—2001中5.4的要求。</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8.电源: 应符合GB 10409-2001中5.5的要求。</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9.附加装置: 应符合GB 10409-2001中5.6的要求。</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10.通风控制装置:</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10.1 柜体底部应设置进风口及可调风阀，可调风阀灵活，并能控制风量大小；</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10.2 柜体应设置通风口，通风口最风速应不小于 0.5m/s；</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10.3 通风管道口径宜采用Φ160mm，通风管应耐高温、阻燃、耐腐蚀，符合 JGJ 141 的要求。</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11.特殊安全性要求: 机械锁钥匙、电子密码锁密码由两人分别保管时，两人同时在场才可开启柜门。</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温湿度控制报警装置:柜体顶上应配置温湿度控制器，对柜内相对温湿度实时监控，数字显示设定和测量值，柜内的温湿度如超过设定的测量值即时报警提示。电源AC220V±10％50HZ,温度启控0~99.9℃（用户设定），湿度启控0~99.9％RH（用户设定）</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三、易制毒化学品仓库及相关实验室监控系统安装调试</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color w:val="333333"/>
          <w:sz w:val="32"/>
          <w:szCs w:val="32"/>
          <w:shd w:val="clear" w:color="auto" w:fill="FFFFFF"/>
        </w:rPr>
        <w:t>501门外及室内各加装一个摄像头</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金山大楼411水质实验室及408油质实验室两间主要实验室加装摄像头</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lang w:val="en-US" w:eastAsia="zh-CN"/>
        </w:rPr>
        <w:t>共计4个摄像头。摄像头技术参数及要求</w:t>
      </w:r>
      <w:r>
        <w:rPr>
          <w:rFonts w:hint="eastAsia" w:ascii="仿宋_GB2312" w:hAnsi="仿宋_GB2312" w:eastAsia="仿宋_GB2312" w:cs="仿宋_GB2312"/>
          <w:b w:val="0"/>
          <w:bCs w:val="0"/>
          <w:kern w:val="2"/>
          <w:sz w:val="32"/>
          <w:szCs w:val="32"/>
          <w:lang w:val="en-US" w:eastAsia="zh-CN" w:bidi="ar-SA"/>
        </w:rPr>
        <w:t>（至少满足）</w:t>
      </w:r>
      <w:r>
        <w:rPr>
          <w:rFonts w:hint="eastAsia" w:ascii="仿宋_GB2312" w:hAnsi="仿宋_GB2312" w:eastAsia="仿宋_GB2312" w:cs="仿宋_GB2312"/>
          <w:b w:val="0"/>
          <w:bCs w:val="0"/>
          <w:color w:val="333333"/>
          <w:sz w:val="32"/>
          <w:szCs w:val="32"/>
          <w:shd w:val="clear" w:color="auto" w:fill="FFFFFF"/>
          <w:lang w:val="en-US" w:eastAsia="zh-CN"/>
        </w:rPr>
        <w:t>如下：</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 支持深度学习算法，提供精准的人车分类侦测、报警、联动跟踪；支持双路区域入侵侦测、越界侦测、进入区域侦测和离开区域侦等智能侦测，并联动跟踪；支持同时检测5张人脸，支持对运动人脸进行检测、跟踪、抓拍评分、筛选，输出最优的人脸抓图；</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 内置加热玻璃功能，可有效除雾；</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 全景支持最大1920x1080@30fps高清画面输出，细节支持最大1920x1080@30fps高清画面输出；全景采用可见光补光30m，同时细节采用高效红外阵列，低功耗，照射距离最远可达150m；支持23倍光学变倍，16倍数字变倍；</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1.4 支持三码流技术，每路码流可独立配置分辨率及帧率；码流平滑设置，适应不同场景下对图像质量、流畅性的不同要求；支持低码率、低延时、ROI感兴趣区域增强编码；支持隐私遮蔽颜色和马赛克配置；</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1.5 支持GBK字库，支持更多汉字及生僻字叠加；支持SVC自适应编码技术；</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1.6 支持超低照度，[全景] 0.0005 Lux @ (F1.0,AGC ON)，0Lux with light,[细节] 0.005Lux @(F1.6，AGC ON),黑白:0.001Lux @(F1.6，AGC ON)；</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1.7 支持3D数字降噪,支持120dB宽动态；支持多播功能；支持选配GB35114安全加密；支持OSD颜色自选；支持无插件Mac下的Safari浏览器的需求；支持海康SDK、开放型网络视频接口、ISAPI、GB/T28181、ISUP、莹石；支持欠压检测；支持定时抓图与事件抓图功能。</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2.其他网络硬件技术参数及要求（至少满足）如下：</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2.1 交换机1台：管理型POE交换机，12个千兆POE电口，2个千兆SFP光口，支持IEEE 802.3af/at供电标准，单端口最大输出功率30W，整机最大输出功率370W；交换容量336Gbps，包转发率96Mpps；支持全端口线速转发；</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2.2 硬盘录像机1台：支持HDMI 4K超高清输出，并支持HDMI/VGA同异源可配；平台接入协议支持萤石、Ehome、ISUP5.0以及GB28181协议；支持1个HDMMI4K输出 ，1个VGA高清1080P输出，同/异源可手动切换；支持12路1080P解码(开启SVC增强模式后，可提升至16路1080P解码）；支持H.265、H.264混合解码，最大支持接入8MP高清IPC；2个千兆网口，16进4出报警2个USB2.0接口 (前置) ，1个USB3.0接口 (后置)；</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2.3 监控硬盘4个：监控级机械硬盘，6T容量，7200转；</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2.4 网络线3捆：超五类工程线，305米/捆；</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kern w:val="2"/>
          <w:sz w:val="32"/>
          <w:szCs w:val="32"/>
          <w:lang w:val="en-US" w:eastAsia="zh-CN" w:bidi="ar-SA"/>
        </w:rPr>
        <w:t xml:space="preserve">2.5 </w:t>
      </w:r>
      <w:r>
        <w:rPr>
          <w:rFonts w:hint="eastAsia" w:ascii="仿宋_GB2312" w:hAnsi="仿宋_GB2312" w:eastAsia="仿宋_GB2312" w:cs="仿宋_GB2312"/>
          <w:b w:val="0"/>
          <w:bCs w:val="0"/>
          <w:color w:val="333333"/>
          <w:sz w:val="32"/>
          <w:szCs w:val="32"/>
          <w:shd w:val="clear" w:color="auto" w:fill="FFFFFF"/>
        </w:rPr>
        <w:t>监控数据</w:t>
      </w:r>
      <w:r>
        <w:rPr>
          <w:rFonts w:hint="eastAsia" w:ascii="仿宋_GB2312" w:hAnsi="仿宋_GB2312" w:eastAsia="仿宋_GB2312" w:cs="仿宋_GB2312"/>
          <w:b w:val="0"/>
          <w:bCs w:val="0"/>
          <w:color w:val="333333"/>
          <w:sz w:val="32"/>
          <w:szCs w:val="32"/>
          <w:shd w:val="clear" w:color="auto" w:fill="FFFFFF"/>
          <w:lang w:val="en-US" w:eastAsia="zh-CN"/>
        </w:rPr>
        <w:t>接入大楼安保系统，</w:t>
      </w:r>
      <w:r>
        <w:rPr>
          <w:rFonts w:hint="eastAsia" w:ascii="仿宋_GB2312" w:hAnsi="仿宋_GB2312" w:eastAsia="仿宋_GB2312" w:cs="仿宋_GB2312"/>
          <w:b w:val="0"/>
          <w:bCs w:val="0"/>
          <w:color w:val="333333"/>
          <w:sz w:val="32"/>
          <w:szCs w:val="32"/>
          <w:shd w:val="clear" w:color="auto" w:fill="FFFFFF"/>
        </w:rPr>
        <w:t>要求</w:t>
      </w:r>
      <w:r>
        <w:rPr>
          <w:rFonts w:hint="eastAsia" w:ascii="仿宋_GB2312" w:hAnsi="仿宋_GB2312" w:eastAsia="仿宋_GB2312" w:cs="仿宋_GB2312"/>
          <w:b w:val="0"/>
          <w:bCs w:val="0"/>
          <w:color w:val="333333"/>
          <w:sz w:val="32"/>
          <w:szCs w:val="32"/>
          <w:shd w:val="clear" w:color="auto" w:fill="FFFFFF"/>
          <w:lang w:val="en-US" w:eastAsia="zh-CN"/>
        </w:rPr>
        <w:t>能回看</w:t>
      </w:r>
      <w:r>
        <w:rPr>
          <w:rFonts w:hint="eastAsia" w:ascii="仿宋_GB2312" w:hAnsi="仿宋_GB2312" w:eastAsia="仿宋_GB2312" w:cs="仿宋_GB2312"/>
          <w:b w:val="0"/>
          <w:bCs w:val="0"/>
          <w:color w:val="333333"/>
          <w:sz w:val="32"/>
          <w:szCs w:val="32"/>
          <w:shd w:val="clear" w:color="auto" w:fill="FFFFFF"/>
        </w:rPr>
        <w:t>至少3个月。</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四、501原有仪器设备搬迁</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lang w:val="en-US" w:eastAsia="zh-CN"/>
        </w:rPr>
        <w:t>1.501所有仪器设备迁移至414，</w:t>
      </w:r>
      <w:bookmarkStart w:id="0" w:name="_GoBack"/>
      <w:bookmarkEnd w:id="0"/>
      <w:r>
        <w:rPr>
          <w:rFonts w:hint="eastAsia" w:ascii="仿宋_GB2312" w:hAnsi="仿宋_GB2312" w:eastAsia="仿宋_GB2312" w:cs="仿宋_GB2312"/>
          <w:b w:val="0"/>
          <w:bCs w:val="0"/>
          <w:color w:val="333333"/>
          <w:sz w:val="32"/>
          <w:szCs w:val="32"/>
          <w:shd w:val="clear" w:color="auto" w:fill="FFFFFF"/>
          <w:lang w:val="en-US" w:eastAsia="zh-CN"/>
        </w:rPr>
        <w:t>落地固定、连接电源等。</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lang w:val="en-US" w:eastAsia="zh-CN"/>
        </w:rPr>
        <w:t>2.滤膜(滤筒)平衡称重装置须约请该设备原厂家青岛众瑞智能仪器有限公司工程师上门拆装调试。</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五、501玻璃窗加装防盗栏杆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lang w:val="en-US" w:eastAsia="zh-CN"/>
        </w:rPr>
        <w:t>所有玻璃窗加装防盗栏杆，报价应包含材料费及人工费等所有相关费用。</w:t>
      </w:r>
    </w:p>
    <w:p>
      <w:pPr>
        <w:keepNext w:val="0"/>
        <w:keepLines w:val="0"/>
        <w:pageBreakBefore w:val="0"/>
        <w:widowControl/>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六、制作并粘贴安全警示标识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lang w:val="en-US" w:eastAsia="zh-CN"/>
        </w:rPr>
        <w:t>1.501仓库大门上须粘贴易制毒化学品库房标识及安全警示标识。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lang w:val="en-US" w:eastAsia="zh-CN"/>
        </w:rPr>
        <w:t>2.易制毒化学品柜柜门上须粘贴所存储的易制毒化学品信息及安全警示标识（硫酸、盐酸、甲苯、乙醚、丙酮、高锰酸钾）。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lang w:val="en-US" w:eastAsia="zh-CN"/>
        </w:rPr>
        <w:t>3.易制毒化学品柜管理制度，防火安全制度等制作上墙。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color w:val="333333"/>
          <w:sz w:val="32"/>
          <w:szCs w:val="32"/>
          <w:shd w:val="clear" w:color="auto" w:fill="FFFFFF"/>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Autospacing="0" w:line="480" w:lineRule="exact"/>
        <w:ind w:firstLine="640" w:firstLineChars="200"/>
        <w:jc w:val="left"/>
        <w:textAlignment w:val="auto"/>
        <w:rPr>
          <w:rFonts w:hint="eastAsia" w:ascii="仿宋_GB2312" w:hAnsi="仿宋_GB2312" w:eastAsia="仿宋_GB2312" w:cs="仿宋_GB2312"/>
          <w:b w:val="0"/>
          <w:bCs w:val="0"/>
          <w:color w:val="333333"/>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622472-2B1E-418A-B90F-ADB08139EB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3A4E46B1-EBA8-4E10-8AFE-87782A17BFF7}"/>
  </w:font>
  <w:font w:name="仿宋_GB2312">
    <w:panose1 w:val="02010609030101010101"/>
    <w:charset w:val="86"/>
    <w:family w:val="modern"/>
    <w:pitch w:val="default"/>
    <w:sig w:usb0="00000001" w:usb1="080E0000" w:usb2="00000000" w:usb3="00000000" w:csb0="00040000" w:csb1="00000000"/>
    <w:embedRegular r:id="rId3" w:fontKey="{E55C573F-98B7-4AB2-88D6-2FB16ED6DF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3804725C"/>
    <w:rsid w:val="3804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2642</Words>
  <Characters>3187</Characters>
  <Lines>0</Lines>
  <Paragraphs>0</Paragraphs>
  <TotalTime>12</TotalTime>
  <ScaleCrop>false</ScaleCrop>
  <LinksUpToDate>false</LinksUpToDate>
  <CharactersWithSpaces>3260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2023-06-19T08:58:00Z</dcterms:created>
  <dc:creator>高燕清</dc:creator>
  <cp:lastModifiedBy>高燕清</cp:lastModifiedBy>
  <dcterms:modified xsi:type="dcterms:W3CDTF">2023-06-19T09:11:14Z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DDED1A508BE7464E958E3A69E6168989_11</vt:lpwstr>
  </property>
</Properties>
</file>